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22642" w:type="dxa"/>
        <w:tblLook w:val="04A0" w:firstRow="1" w:lastRow="0" w:firstColumn="1" w:lastColumn="0" w:noHBand="0" w:noVBand="1"/>
      </w:tblPr>
      <w:tblGrid>
        <w:gridCol w:w="4248"/>
        <w:gridCol w:w="3333"/>
        <w:gridCol w:w="778"/>
        <w:gridCol w:w="8219"/>
        <w:gridCol w:w="3043"/>
        <w:gridCol w:w="3021"/>
      </w:tblGrid>
      <w:tr w:rsidR="0081382D" w:rsidRPr="00350EEB" w14:paraId="7F905C2D" w14:textId="77777777" w:rsidTr="0081382D">
        <w:trPr>
          <w:trHeight w:val="23"/>
        </w:trPr>
        <w:tc>
          <w:tcPr>
            <w:tcW w:w="4248" w:type="dxa"/>
            <w:vMerge w:val="restart"/>
            <w:tcBorders>
              <w:top w:val="single" w:sz="4" w:space="0" w:color="auto"/>
              <w:left w:val="single" w:sz="4" w:space="0" w:color="auto"/>
              <w:right w:val="nil"/>
            </w:tcBorders>
          </w:tcPr>
          <w:p w14:paraId="1BBA38BA" w14:textId="77777777" w:rsidR="0081382D" w:rsidRPr="00350EEB" w:rsidRDefault="00EF71C0" w:rsidP="00552C01">
            <w:pPr>
              <w:jc w:val="center"/>
              <w:rPr>
                <w:rFonts w:cstheme="minorHAnsi"/>
                <w:b/>
                <w:noProof/>
                <w:lang w:eastAsia="en-AU"/>
              </w:rPr>
            </w:pPr>
            <w:r w:rsidRPr="00350EEB">
              <w:rPr>
                <w:rFonts w:cstheme="minorHAnsi"/>
                <w:b/>
                <w:noProof/>
                <w:lang w:eastAsia="en-AU"/>
              </w:rPr>
              <mc:AlternateContent>
                <mc:Choice Requires="wps">
                  <w:drawing>
                    <wp:anchor distT="0" distB="0" distL="114300" distR="114300" simplePos="0" relativeHeight="251666432" behindDoc="0" locked="0" layoutInCell="1" allowOverlap="1" wp14:anchorId="26A38749" wp14:editId="521CAD48">
                      <wp:simplePos x="0" y="0"/>
                      <wp:positionH relativeFrom="column">
                        <wp:posOffset>99695</wp:posOffset>
                      </wp:positionH>
                      <wp:positionV relativeFrom="paragraph">
                        <wp:posOffset>7994650</wp:posOffset>
                      </wp:positionV>
                      <wp:extent cx="2276475" cy="971550"/>
                      <wp:effectExtent l="0" t="0" r="28575" b="19050"/>
                      <wp:wrapNone/>
                      <wp:docPr id="7" name="Rounded Rectangle 6"/>
                      <wp:cNvGraphicFramePr/>
                      <a:graphic xmlns:a="http://schemas.openxmlformats.org/drawingml/2006/main">
                        <a:graphicData uri="http://schemas.microsoft.com/office/word/2010/wordprocessingShape">
                          <wps:wsp>
                            <wps:cNvSpPr/>
                            <wps:spPr>
                              <a:xfrm>
                                <a:off x="0" y="0"/>
                                <a:ext cx="2276475" cy="971550"/>
                              </a:xfrm>
                              <a:prstGeom prst="roundRect">
                                <a:avLst/>
                              </a:prstGeom>
                              <a:solidFill>
                                <a:srgbClr val="FFFF00">
                                  <a:alpha val="25098"/>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3229BA59" id="Rounded Rectangle 6" o:spid="_x0000_s1026" style="position:absolute;margin-left:7.85pt;margin-top:629.5pt;width:179.25pt;height: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" fillcolor="yellow" strokecolor="yellow" strokeweight="1pt">
                      <v:fill opacity="16448f"/>
                      <v:stroke joinstyle="miter"/>
                    </v:roundrect>
                  </w:pict>
                </mc:Fallback>
              </mc:AlternateContent>
            </w:r>
            <w:r w:rsidR="0081382D" w:rsidRPr="00350EEB">
              <w:rPr>
                <w:rFonts w:cstheme="minorHAnsi"/>
                <w:b/>
                <w:noProof/>
                <w:lang w:eastAsia="en-AU"/>
              </w:rPr>
              <w:drawing>
                <wp:anchor distT="0" distB="0" distL="114300" distR="114300" simplePos="0" relativeHeight="251665408" behindDoc="0" locked="0" layoutInCell="1" allowOverlap="1" wp14:anchorId="43526D09" wp14:editId="4C2DCE6E">
                  <wp:simplePos x="0" y="0"/>
                  <wp:positionH relativeFrom="column">
                    <wp:posOffset>-6350</wp:posOffset>
                  </wp:positionH>
                  <wp:positionV relativeFrom="paragraph">
                    <wp:posOffset>163830</wp:posOffset>
                  </wp:positionV>
                  <wp:extent cx="2552065" cy="9111615"/>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52065" cy="9111615"/>
                          </a:xfrm>
                          <a:prstGeom prst="rect">
                            <a:avLst/>
                          </a:prstGeom>
                        </pic:spPr>
                      </pic:pic>
                    </a:graphicData>
                  </a:graphic>
                  <wp14:sizeRelH relativeFrom="margin">
                    <wp14:pctWidth>0</wp14:pctWidth>
                  </wp14:sizeRelH>
                  <wp14:sizeRelV relativeFrom="margin">
                    <wp14:pctHeight>0</wp14:pctHeight>
                  </wp14:sizeRelV>
                </wp:anchor>
              </w:drawing>
            </w:r>
          </w:p>
        </w:tc>
        <w:tc>
          <w:tcPr>
            <w:tcW w:w="3333" w:type="dxa"/>
            <w:tcBorders>
              <w:top w:val="single" w:sz="4" w:space="0" w:color="auto"/>
              <w:left w:val="single" w:sz="4" w:space="0" w:color="auto"/>
              <w:bottom w:val="single" w:sz="4" w:space="0" w:color="auto"/>
              <w:right w:val="nil"/>
            </w:tcBorders>
          </w:tcPr>
          <w:p w14:paraId="521EF469" w14:textId="77777777" w:rsidR="0081382D" w:rsidRPr="00350EEB" w:rsidRDefault="0081382D" w:rsidP="00552C01">
            <w:pPr>
              <w:jc w:val="center"/>
              <w:rPr>
                <w:rFonts w:cstheme="minorHAnsi"/>
                <w:b/>
              </w:rPr>
            </w:pPr>
            <w:r w:rsidRPr="00350EEB">
              <w:rPr>
                <w:rFonts w:cstheme="minorHAnsi"/>
                <w:b/>
                <w:noProof/>
                <w:lang w:eastAsia="en-AU"/>
              </w:rPr>
              <w:drawing>
                <wp:anchor distT="0" distB="0" distL="114300" distR="114300" simplePos="0" relativeHeight="251663360" behindDoc="0" locked="0" layoutInCell="1" allowOverlap="1" wp14:anchorId="14553BD6" wp14:editId="24E54D79">
                  <wp:simplePos x="0" y="0"/>
                  <wp:positionH relativeFrom="column">
                    <wp:posOffset>98425</wp:posOffset>
                  </wp:positionH>
                  <wp:positionV relativeFrom="paragraph">
                    <wp:posOffset>146998</wp:posOffset>
                  </wp:positionV>
                  <wp:extent cx="1291729" cy="115252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ghreslogo.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1729" cy="1152525"/>
                          </a:xfrm>
                          <a:prstGeom prst="rect">
                            <a:avLst/>
                          </a:prstGeom>
                        </pic:spPr>
                      </pic:pic>
                    </a:graphicData>
                  </a:graphic>
                </wp:anchor>
              </w:drawing>
            </w:r>
          </w:p>
        </w:tc>
        <w:tc>
          <w:tcPr>
            <w:tcW w:w="12040" w:type="dxa"/>
            <w:gridSpan w:val="3"/>
            <w:tcBorders>
              <w:top w:val="single" w:sz="4" w:space="0" w:color="auto"/>
              <w:left w:val="nil"/>
              <w:bottom w:val="single" w:sz="4" w:space="0" w:color="auto"/>
              <w:right w:val="nil"/>
            </w:tcBorders>
            <w:vAlign w:val="center"/>
          </w:tcPr>
          <w:p w14:paraId="08934CDF" w14:textId="77777777" w:rsidR="0081382D" w:rsidRPr="00350EEB" w:rsidRDefault="0081382D" w:rsidP="00552C01">
            <w:pPr>
              <w:jc w:val="center"/>
              <w:rPr>
                <w:rFonts w:cstheme="minorHAnsi"/>
                <w:b/>
              </w:rPr>
            </w:pPr>
            <w:r w:rsidRPr="00350EEB">
              <w:rPr>
                <w:rFonts w:cstheme="minorHAnsi"/>
                <w:b/>
                <w:color w:val="002060"/>
                <w:sz w:val="144"/>
              </w:rPr>
              <w:t>PQIP</w:t>
            </w:r>
          </w:p>
        </w:tc>
        <w:tc>
          <w:tcPr>
            <w:tcW w:w="3021" w:type="dxa"/>
            <w:tcBorders>
              <w:top w:val="single" w:sz="4" w:space="0" w:color="auto"/>
              <w:left w:val="nil"/>
              <w:bottom w:val="single" w:sz="4" w:space="0" w:color="auto"/>
              <w:right w:val="single" w:sz="4" w:space="0" w:color="auto"/>
            </w:tcBorders>
          </w:tcPr>
          <w:p w14:paraId="15F8A9A2" w14:textId="77777777" w:rsidR="0081382D" w:rsidRPr="00350EEB" w:rsidRDefault="0081382D" w:rsidP="00552C01">
            <w:pPr>
              <w:jc w:val="center"/>
              <w:rPr>
                <w:rFonts w:cstheme="minorHAnsi"/>
                <w:b/>
              </w:rPr>
            </w:pPr>
            <w:r w:rsidRPr="00350EEB">
              <w:rPr>
                <w:rFonts w:cstheme="minorHAnsi"/>
                <w:b/>
                <w:noProof/>
                <w:lang w:eastAsia="en-AU"/>
              </w:rPr>
              <w:drawing>
                <wp:inline distT="0" distB="0" distL="0" distR="0" wp14:anchorId="0BD9CE70" wp14:editId="3DD149FF">
                  <wp:extent cx="1781515" cy="1528549"/>
                  <wp:effectExtent l="0" t="0" r="0" b="0"/>
                  <wp:docPr id="2" name="Picture 2" descr="Carclew Artists in Schools – Developing Effective Arts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clew Artists in Schools – Developing Effective Arts Learn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0538" cy="1630671"/>
                          </a:xfrm>
                          <a:prstGeom prst="rect">
                            <a:avLst/>
                          </a:prstGeom>
                          <a:noFill/>
                          <a:ln>
                            <a:noFill/>
                          </a:ln>
                        </pic:spPr>
                      </pic:pic>
                    </a:graphicData>
                  </a:graphic>
                </wp:inline>
              </w:drawing>
            </w:r>
          </w:p>
        </w:tc>
      </w:tr>
      <w:tr w:rsidR="0081382D" w:rsidRPr="00350EEB" w14:paraId="3A56EBB3" w14:textId="77777777" w:rsidTr="0081382D">
        <w:trPr>
          <w:trHeight w:val="23"/>
        </w:trPr>
        <w:tc>
          <w:tcPr>
            <w:tcW w:w="4248" w:type="dxa"/>
            <w:vMerge/>
            <w:tcBorders>
              <w:left w:val="single" w:sz="4" w:space="0" w:color="auto"/>
            </w:tcBorders>
            <w:shd w:val="clear" w:color="auto" w:fill="002060"/>
          </w:tcPr>
          <w:p w14:paraId="602D309E" w14:textId="77777777" w:rsidR="0081382D" w:rsidRPr="00350EEB" w:rsidRDefault="0081382D" w:rsidP="00552C01">
            <w:pPr>
              <w:jc w:val="center"/>
              <w:rPr>
                <w:rFonts w:cstheme="minorHAnsi"/>
                <w:b/>
                <w:color w:val="FFFFFF" w:themeColor="background1"/>
                <w:sz w:val="40"/>
              </w:rPr>
            </w:pPr>
          </w:p>
        </w:tc>
        <w:tc>
          <w:tcPr>
            <w:tcW w:w="3333" w:type="dxa"/>
            <w:tcBorders>
              <w:top w:val="single" w:sz="4" w:space="0" w:color="auto"/>
            </w:tcBorders>
            <w:shd w:val="clear" w:color="auto" w:fill="002060"/>
            <w:vAlign w:val="center"/>
          </w:tcPr>
          <w:p w14:paraId="40AF0A6B" w14:textId="77777777" w:rsidR="0081382D" w:rsidRPr="00350EEB" w:rsidRDefault="0081382D" w:rsidP="00552C01">
            <w:pPr>
              <w:jc w:val="center"/>
              <w:rPr>
                <w:rFonts w:cstheme="minorHAnsi"/>
                <w:b/>
                <w:sz w:val="40"/>
              </w:rPr>
            </w:pPr>
            <w:r w:rsidRPr="00350EEB">
              <w:rPr>
                <w:rFonts w:cstheme="minorHAnsi"/>
                <w:b/>
                <w:color w:val="FFFFFF" w:themeColor="background1"/>
                <w:sz w:val="40"/>
              </w:rPr>
              <w:t>Goal</w:t>
            </w:r>
          </w:p>
        </w:tc>
        <w:tc>
          <w:tcPr>
            <w:tcW w:w="15061" w:type="dxa"/>
            <w:gridSpan w:val="4"/>
            <w:tcBorders>
              <w:top w:val="single" w:sz="4" w:space="0" w:color="auto"/>
            </w:tcBorders>
            <w:shd w:val="clear" w:color="auto" w:fill="FFFFFF" w:themeFill="background1"/>
          </w:tcPr>
          <w:p w14:paraId="0196B9A6" w14:textId="77777777" w:rsidR="009C0A9A" w:rsidRPr="00DD31F4" w:rsidRDefault="009C0A9A" w:rsidP="009C0A9A">
            <w:pPr>
              <w:jc w:val="center"/>
              <w:rPr>
                <w:rFonts w:eastAsia="Times New Roman" w:cstheme="minorHAnsi"/>
                <w:sz w:val="56"/>
                <w:lang w:eastAsia="en-AU"/>
              </w:rPr>
            </w:pPr>
            <w:r>
              <w:rPr>
                <w:rFonts w:eastAsia="Times New Roman" w:cstheme="minorHAnsi"/>
                <w:sz w:val="56"/>
                <w:lang w:eastAsia="en-AU"/>
              </w:rPr>
              <w:t xml:space="preserve">For children to </w:t>
            </w:r>
            <w:r w:rsidRPr="00637EFE">
              <w:rPr>
                <w:rFonts w:eastAsia="Times New Roman" w:cstheme="minorHAnsi"/>
                <w:b/>
                <w:sz w:val="56"/>
                <w:lang w:eastAsia="en-AU"/>
              </w:rPr>
              <w:t>reflect</w:t>
            </w:r>
            <w:r>
              <w:rPr>
                <w:rFonts w:eastAsia="Times New Roman" w:cstheme="minorHAnsi"/>
                <w:sz w:val="56"/>
                <w:lang w:eastAsia="en-AU"/>
              </w:rPr>
              <w:t xml:space="preserve"> on their </w:t>
            </w:r>
            <w:r w:rsidRPr="00637EFE">
              <w:rPr>
                <w:rFonts w:eastAsia="Times New Roman" w:cstheme="minorHAnsi"/>
                <w:b/>
                <w:sz w:val="56"/>
                <w:lang w:eastAsia="en-AU"/>
              </w:rPr>
              <w:t>thinking</w:t>
            </w:r>
            <w:r>
              <w:rPr>
                <w:rFonts w:eastAsia="Times New Roman" w:cstheme="minorHAnsi"/>
                <w:sz w:val="56"/>
                <w:lang w:eastAsia="en-AU"/>
              </w:rPr>
              <w:t xml:space="preserve"> and </w:t>
            </w:r>
            <w:r w:rsidRPr="00637EFE">
              <w:rPr>
                <w:rFonts w:eastAsia="Times New Roman" w:cstheme="minorHAnsi"/>
                <w:b/>
                <w:sz w:val="56"/>
                <w:lang w:eastAsia="en-AU"/>
              </w:rPr>
              <w:t>regulate their emotions</w:t>
            </w:r>
            <w:r>
              <w:rPr>
                <w:rFonts w:eastAsia="Times New Roman" w:cstheme="minorHAnsi"/>
                <w:sz w:val="56"/>
                <w:lang w:eastAsia="en-AU"/>
              </w:rPr>
              <w:t xml:space="preserve"> during play.</w:t>
            </w:r>
          </w:p>
          <w:p w14:paraId="39A998C7" w14:textId="3DDE6126" w:rsidR="0081382D" w:rsidRPr="00350EEB" w:rsidRDefault="00350EEB" w:rsidP="00E32ABD">
            <w:pPr>
              <w:jc w:val="center"/>
              <w:rPr>
                <w:rFonts w:cstheme="minorHAnsi"/>
                <w:b/>
                <w:sz w:val="40"/>
              </w:rPr>
            </w:pPr>
            <w:r w:rsidRPr="00350EEB">
              <w:rPr>
                <w:rFonts w:cstheme="minorHAnsi"/>
                <w:i/>
                <w:color w:val="242424"/>
              </w:rPr>
              <w:t>When children engage in metacognitive processes, such as reflecting on their thinking and regulating their learning, the principles of the EYLF and Pedagogical Documentation/Making Thinking Visible can help create a dynamic and engaging environment that encourages self-awareness and self-regulation.</w:t>
            </w:r>
          </w:p>
        </w:tc>
      </w:tr>
      <w:tr w:rsidR="0081382D" w:rsidRPr="00350EEB" w14:paraId="70CA8607" w14:textId="77777777" w:rsidTr="0081382D">
        <w:trPr>
          <w:trHeight w:val="23"/>
        </w:trPr>
        <w:tc>
          <w:tcPr>
            <w:tcW w:w="4248" w:type="dxa"/>
            <w:vMerge/>
            <w:tcBorders>
              <w:left w:val="single" w:sz="4" w:space="0" w:color="auto"/>
            </w:tcBorders>
            <w:shd w:val="clear" w:color="auto" w:fill="002060"/>
          </w:tcPr>
          <w:p w14:paraId="339D10F6" w14:textId="77777777" w:rsidR="0081382D" w:rsidRPr="00350EEB" w:rsidRDefault="0081382D" w:rsidP="00552C01">
            <w:pPr>
              <w:jc w:val="center"/>
              <w:rPr>
                <w:rFonts w:cstheme="minorHAnsi"/>
                <w:b/>
                <w:color w:val="FFFFFF" w:themeColor="background1"/>
                <w:sz w:val="40"/>
              </w:rPr>
            </w:pPr>
          </w:p>
        </w:tc>
        <w:tc>
          <w:tcPr>
            <w:tcW w:w="4111" w:type="dxa"/>
            <w:gridSpan w:val="2"/>
            <w:tcBorders>
              <w:top w:val="single" w:sz="4" w:space="0" w:color="auto"/>
            </w:tcBorders>
            <w:shd w:val="clear" w:color="auto" w:fill="002060"/>
          </w:tcPr>
          <w:p w14:paraId="2BA08C87" w14:textId="77777777" w:rsidR="0081382D" w:rsidRPr="00350EEB" w:rsidRDefault="0081382D" w:rsidP="00552C01">
            <w:pPr>
              <w:jc w:val="center"/>
              <w:rPr>
                <w:rFonts w:cstheme="minorHAnsi"/>
                <w:b/>
                <w:color w:val="FFFFFF" w:themeColor="background1"/>
                <w:sz w:val="40"/>
              </w:rPr>
            </w:pPr>
            <w:r w:rsidRPr="00350EEB">
              <w:rPr>
                <w:rFonts w:cstheme="minorHAnsi"/>
                <w:b/>
                <w:color w:val="FFFFFF" w:themeColor="background1"/>
                <w:sz w:val="40"/>
              </w:rPr>
              <w:t>Actions</w:t>
            </w:r>
          </w:p>
        </w:tc>
        <w:tc>
          <w:tcPr>
            <w:tcW w:w="8219" w:type="dxa"/>
            <w:tcBorders>
              <w:top w:val="single" w:sz="4" w:space="0" w:color="auto"/>
            </w:tcBorders>
            <w:shd w:val="clear" w:color="auto" w:fill="002060"/>
          </w:tcPr>
          <w:p w14:paraId="493BE4BE" w14:textId="18B60133" w:rsidR="0081382D" w:rsidRPr="00350EEB" w:rsidRDefault="009256D3" w:rsidP="00552C01">
            <w:pPr>
              <w:jc w:val="center"/>
              <w:rPr>
                <w:rFonts w:cstheme="minorHAnsi"/>
                <w:b/>
                <w:color w:val="FFFFFF" w:themeColor="background1"/>
                <w:sz w:val="40"/>
              </w:rPr>
            </w:pPr>
            <w:r>
              <w:rPr>
                <w:rFonts w:cstheme="minorHAnsi"/>
                <w:b/>
                <w:color w:val="FFFFFF" w:themeColor="background1"/>
                <w:sz w:val="40"/>
              </w:rPr>
              <w:t>Educators</w:t>
            </w:r>
            <w:r w:rsidR="0081382D" w:rsidRPr="00350EEB">
              <w:rPr>
                <w:rFonts w:cstheme="minorHAnsi"/>
                <w:b/>
                <w:color w:val="FFFFFF" w:themeColor="background1"/>
                <w:sz w:val="40"/>
              </w:rPr>
              <w:t xml:space="preserve"> Will</w:t>
            </w:r>
          </w:p>
        </w:tc>
        <w:tc>
          <w:tcPr>
            <w:tcW w:w="6064" w:type="dxa"/>
            <w:gridSpan w:val="2"/>
            <w:tcBorders>
              <w:top w:val="single" w:sz="4" w:space="0" w:color="auto"/>
            </w:tcBorders>
            <w:shd w:val="clear" w:color="auto" w:fill="002060"/>
          </w:tcPr>
          <w:p w14:paraId="19C334BA" w14:textId="77777777" w:rsidR="0081382D" w:rsidRPr="00350EEB" w:rsidRDefault="0081382D" w:rsidP="00552C01">
            <w:pPr>
              <w:jc w:val="center"/>
              <w:rPr>
                <w:rFonts w:cstheme="minorHAnsi"/>
                <w:b/>
                <w:color w:val="FFFFFF" w:themeColor="background1"/>
                <w:sz w:val="40"/>
              </w:rPr>
            </w:pPr>
            <w:r w:rsidRPr="00350EEB">
              <w:rPr>
                <w:rFonts w:cstheme="minorHAnsi"/>
                <w:b/>
                <w:color w:val="FFFFFF" w:themeColor="background1"/>
                <w:sz w:val="40"/>
              </w:rPr>
              <w:t>Learners Will</w:t>
            </w:r>
          </w:p>
        </w:tc>
      </w:tr>
      <w:tr w:rsidR="0081382D" w:rsidRPr="00350EEB" w14:paraId="57AC6AB6" w14:textId="77777777" w:rsidTr="0081382D">
        <w:trPr>
          <w:trHeight w:val="1353"/>
        </w:trPr>
        <w:tc>
          <w:tcPr>
            <w:tcW w:w="4248" w:type="dxa"/>
            <w:vMerge/>
            <w:tcBorders>
              <w:left w:val="single" w:sz="4" w:space="0" w:color="auto"/>
            </w:tcBorders>
          </w:tcPr>
          <w:p w14:paraId="2484BF2B" w14:textId="77777777" w:rsidR="0081382D" w:rsidRPr="00350EEB" w:rsidRDefault="0081382D" w:rsidP="00E32ABD">
            <w:pPr>
              <w:rPr>
                <w:rStyle w:val="Strong"/>
                <w:rFonts w:cstheme="minorHAnsi"/>
              </w:rPr>
            </w:pPr>
          </w:p>
        </w:tc>
        <w:tc>
          <w:tcPr>
            <w:tcW w:w="4111" w:type="dxa"/>
            <w:gridSpan w:val="2"/>
          </w:tcPr>
          <w:p w14:paraId="38322D46" w14:textId="42A7B0C0" w:rsidR="00350EEB" w:rsidRDefault="0081382D" w:rsidP="00350EEB">
            <w:r w:rsidRPr="00350EEB">
              <w:rPr>
                <w:rStyle w:val="Strong"/>
                <w:rFonts w:cstheme="minorHAnsi"/>
              </w:rPr>
              <w:t>Facilitate Reflective Conversations</w:t>
            </w:r>
            <w:r w:rsidRPr="00350EEB">
              <w:rPr>
                <w:rFonts w:cstheme="minorHAnsi"/>
              </w:rPr>
              <w:br/>
            </w:r>
            <w:r w:rsidR="00350EEB" w:rsidRPr="00350EEB">
              <w:t>Ask open-ended questions to help children reflect on their thinking and learning strategies. Actively listen and guide them to recognise what worked, what didn’t, and how they can adjust. Encourage self-regulation by prompting them to set goals for improving their thinking and decision-making processes.</w:t>
            </w:r>
          </w:p>
          <w:p w14:paraId="36349B5B" w14:textId="77777777" w:rsidR="00350EEB" w:rsidRPr="00350EEB" w:rsidRDefault="00350EEB" w:rsidP="00350EEB"/>
          <w:p w14:paraId="04DDE0E3" w14:textId="11853D4C" w:rsidR="0081382D" w:rsidRDefault="0081382D" w:rsidP="00E32ABD">
            <w:r w:rsidRPr="00350EEB">
              <w:rPr>
                <w:rStyle w:val="Strong"/>
                <w:rFonts w:cstheme="minorHAnsi"/>
              </w:rPr>
              <w:t>Provide Diverse Materials</w:t>
            </w:r>
            <w:r w:rsidRPr="00350EEB">
              <w:rPr>
                <w:rFonts w:cstheme="minorHAnsi"/>
              </w:rPr>
              <w:br/>
            </w:r>
            <w:r w:rsidR="00350EEB" w:rsidRPr="00350EEB">
              <w:t>Offer resources like art supplies and building blocks that promote critical thinking. Use tools like Floor</w:t>
            </w:r>
            <w:r w:rsidR="0032471E">
              <w:t xml:space="preserve"> </w:t>
            </w:r>
            <w:r w:rsidR="00350EEB" w:rsidRPr="00350EEB">
              <w:t>books and tablets for children to document their reflections, helping them evaluate and improve their strategies. Encourage self-regulation by guiding children to assess their learning and identify areas for growth and development.</w:t>
            </w:r>
          </w:p>
          <w:p w14:paraId="7E075EE7" w14:textId="77777777" w:rsidR="00350EEB" w:rsidRPr="00350EEB" w:rsidRDefault="00350EEB" w:rsidP="00E32ABD">
            <w:pPr>
              <w:rPr>
                <w:rFonts w:cstheme="minorHAnsi"/>
              </w:rPr>
            </w:pPr>
          </w:p>
          <w:p w14:paraId="4F0915EB" w14:textId="487F85FE" w:rsidR="0081382D" w:rsidRPr="00350EEB" w:rsidRDefault="0081382D" w:rsidP="00350EEB">
            <w:pPr>
              <w:rPr>
                <w:rFonts w:cstheme="minorHAnsi"/>
                <w:sz w:val="18"/>
              </w:rPr>
            </w:pPr>
            <w:r w:rsidRPr="00350EEB">
              <w:rPr>
                <w:rStyle w:val="Strong"/>
                <w:rFonts w:cstheme="minorHAnsi"/>
              </w:rPr>
              <w:t>Engage Families</w:t>
            </w:r>
            <w:r w:rsidRPr="00350EEB">
              <w:rPr>
                <w:rFonts w:cstheme="minorHAnsi"/>
              </w:rPr>
              <w:br/>
            </w:r>
            <w:r w:rsidR="00350EEB" w:rsidRPr="00350EEB">
              <w:t>Share the importance of metacognition and self-regulation with families. Encourage them to support reflection at home by helping children recognise their thinking processes and regulate their learning. Invite families to provide insights on how children approach tasks and offer strategies to enhance their self-awareness and self-regulation.</w:t>
            </w:r>
          </w:p>
        </w:tc>
        <w:tc>
          <w:tcPr>
            <w:tcW w:w="8219" w:type="dxa"/>
          </w:tcPr>
          <w:p w14:paraId="20D6CD43" w14:textId="5118EE9B" w:rsidR="00350EEB" w:rsidRPr="00350EEB" w:rsidRDefault="00350EEB" w:rsidP="00350EEB">
            <w:pPr>
              <w:rPr>
                <w:rFonts w:eastAsia="Times New Roman" w:cstheme="minorHAnsi"/>
                <w:szCs w:val="24"/>
                <w:lang w:eastAsia="en-AU"/>
              </w:rPr>
            </w:pPr>
            <w:r w:rsidRPr="00350EEB">
              <w:rPr>
                <w:rFonts w:eastAsia="Times New Roman" w:cstheme="minorHAnsi"/>
                <w:b/>
                <w:bCs/>
                <w:szCs w:val="24"/>
                <w:lang w:eastAsia="en-AU"/>
              </w:rPr>
              <w:t>Facilitate Reflective Conversations</w:t>
            </w:r>
          </w:p>
          <w:p w14:paraId="6B8D54EF" w14:textId="77777777" w:rsidR="00350EEB" w:rsidRPr="00350EEB" w:rsidRDefault="00350EEB" w:rsidP="00350EEB">
            <w:pPr>
              <w:numPr>
                <w:ilvl w:val="0"/>
                <w:numId w:val="14"/>
              </w:numPr>
              <w:rPr>
                <w:rFonts w:eastAsia="Times New Roman" w:cstheme="minorHAnsi"/>
                <w:szCs w:val="24"/>
                <w:lang w:eastAsia="en-AU"/>
              </w:rPr>
            </w:pPr>
            <w:r w:rsidRPr="00350EEB">
              <w:rPr>
                <w:rFonts w:eastAsia="Times New Roman" w:cstheme="minorHAnsi"/>
                <w:szCs w:val="24"/>
                <w:lang w:eastAsia="en-AU"/>
              </w:rPr>
              <w:t>Encourage deeper thinking by asking open-ended questions to prompt children to reflect on their learning and thinking processes.</w:t>
            </w:r>
          </w:p>
          <w:p w14:paraId="28004D9C" w14:textId="77777777" w:rsidR="00350EEB" w:rsidRPr="00350EEB" w:rsidRDefault="00350EEB" w:rsidP="00350EEB">
            <w:pPr>
              <w:numPr>
                <w:ilvl w:val="0"/>
                <w:numId w:val="14"/>
              </w:numPr>
              <w:rPr>
                <w:rFonts w:eastAsia="Times New Roman" w:cstheme="minorHAnsi"/>
                <w:szCs w:val="24"/>
                <w:lang w:eastAsia="en-AU"/>
              </w:rPr>
            </w:pPr>
            <w:r w:rsidRPr="00350EEB">
              <w:rPr>
                <w:rFonts w:eastAsia="Times New Roman" w:cstheme="minorHAnsi"/>
                <w:szCs w:val="24"/>
                <w:lang w:eastAsia="en-AU"/>
              </w:rPr>
              <w:t>Actively listen to children’s responses with genuine interest, guiding them to identify their thinking patterns and strategies for improvement.</w:t>
            </w:r>
          </w:p>
          <w:p w14:paraId="2EAE2C05" w14:textId="6F8BBEB6" w:rsidR="00350EEB" w:rsidRDefault="00350EEB" w:rsidP="00350EEB">
            <w:pPr>
              <w:numPr>
                <w:ilvl w:val="0"/>
                <w:numId w:val="14"/>
              </w:numPr>
              <w:rPr>
                <w:rFonts w:eastAsia="Times New Roman" w:cstheme="minorHAnsi"/>
                <w:szCs w:val="24"/>
                <w:lang w:eastAsia="en-AU"/>
              </w:rPr>
            </w:pPr>
            <w:r w:rsidRPr="00350EEB">
              <w:rPr>
                <w:rFonts w:eastAsia="Times New Roman" w:cstheme="minorHAnsi"/>
                <w:szCs w:val="24"/>
                <w:lang w:eastAsia="en-AU"/>
              </w:rPr>
              <w:t>Participate in play and learning activities to model reflective and self-regulatory behaviours.</w:t>
            </w:r>
          </w:p>
          <w:p w14:paraId="5F20413B" w14:textId="73734AAC" w:rsidR="00350EEB" w:rsidRDefault="00350EEB" w:rsidP="00350EEB">
            <w:pPr>
              <w:rPr>
                <w:rFonts w:eastAsia="Times New Roman" w:cstheme="minorHAnsi"/>
                <w:szCs w:val="24"/>
                <w:lang w:eastAsia="en-AU"/>
              </w:rPr>
            </w:pPr>
          </w:p>
          <w:p w14:paraId="2904AB50" w14:textId="332CD53C" w:rsidR="00350EEB" w:rsidRDefault="00350EEB" w:rsidP="00350EEB">
            <w:pPr>
              <w:rPr>
                <w:rFonts w:eastAsia="Times New Roman" w:cstheme="minorHAnsi"/>
                <w:szCs w:val="24"/>
                <w:lang w:eastAsia="en-AU"/>
              </w:rPr>
            </w:pPr>
          </w:p>
          <w:p w14:paraId="59FD28FA" w14:textId="77777777" w:rsidR="00350EEB" w:rsidRPr="00350EEB" w:rsidRDefault="00350EEB" w:rsidP="00350EEB">
            <w:pPr>
              <w:rPr>
                <w:rFonts w:eastAsia="Times New Roman" w:cstheme="minorHAnsi"/>
                <w:szCs w:val="24"/>
                <w:lang w:eastAsia="en-AU"/>
              </w:rPr>
            </w:pPr>
          </w:p>
          <w:p w14:paraId="6ADB8731" w14:textId="46263A24" w:rsidR="00350EEB" w:rsidRPr="00350EEB" w:rsidRDefault="00350EEB" w:rsidP="00350EEB">
            <w:pPr>
              <w:rPr>
                <w:rFonts w:eastAsia="Times New Roman" w:cstheme="minorHAnsi"/>
                <w:szCs w:val="24"/>
                <w:lang w:eastAsia="en-AU"/>
              </w:rPr>
            </w:pPr>
            <w:r w:rsidRPr="00350EEB">
              <w:rPr>
                <w:rFonts w:eastAsia="Times New Roman" w:cstheme="minorHAnsi"/>
                <w:b/>
                <w:bCs/>
                <w:szCs w:val="24"/>
                <w:lang w:eastAsia="en-AU"/>
              </w:rPr>
              <w:t>Provide Diverse Materials</w:t>
            </w:r>
          </w:p>
          <w:p w14:paraId="02DE58AB" w14:textId="77777777" w:rsidR="00350EEB" w:rsidRPr="00350EEB" w:rsidRDefault="00350EEB" w:rsidP="00350EEB">
            <w:pPr>
              <w:numPr>
                <w:ilvl w:val="0"/>
                <w:numId w:val="15"/>
              </w:numPr>
              <w:rPr>
                <w:rFonts w:eastAsia="Times New Roman" w:cstheme="minorHAnsi"/>
                <w:szCs w:val="24"/>
                <w:lang w:eastAsia="en-AU"/>
              </w:rPr>
            </w:pPr>
            <w:r w:rsidRPr="00350EEB">
              <w:rPr>
                <w:rFonts w:eastAsia="Times New Roman" w:cstheme="minorHAnsi"/>
                <w:szCs w:val="24"/>
                <w:lang w:eastAsia="en-AU"/>
              </w:rPr>
              <w:t>Offer a range of creative resources, such as art supplies, building blocks, and role-play areas, that encourage children to think critically and solve problems.</w:t>
            </w:r>
          </w:p>
          <w:p w14:paraId="26FC40F5" w14:textId="568D9B22" w:rsidR="00350EEB" w:rsidRPr="00350EEB" w:rsidRDefault="00350EEB" w:rsidP="00350EEB">
            <w:pPr>
              <w:numPr>
                <w:ilvl w:val="0"/>
                <w:numId w:val="15"/>
              </w:numPr>
              <w:rPr>
                <w:rFonts w:eastAsia="Times New Roman" w:cstheme="minorHAnsi"/>
                <w:szCs w:val="24"/>
                <w:lang w:eastAsia="en-AU"/>
              </w:rPr>
            </w:pPr>
            <w:r w:rsidRPr="00350EEB">
              <w:rPr>
                <w:rFonts w:eastAsia="Times New Roman" w:cstheme="minorHAnsi"/>
                <w:szCs w:val="24"/>
                <w:lang w:eastAsia="en-AU"/>
              </w:rPr>
              <w:t xml:space="preserve">Incorporate tools like </w:t>
            </w:r>
            <w:r w:rsidR="0032471E" w:rsidRPr="00350EEB">
              <w:rPr>
                <w:rFonts w:eastAsia="Times New Roman" w:cstheme="minorHAnsi"/>
                <w:szCs w:val="24"/>
                <w:lang w:eastAsia="en-AU"/>
              </w:rPr>
              <w:t>Floor books</w:t>
            </w:r>
            <w:r w:rsidRPr="00350EEB">
              <w:rPr>
                <w:rFonts w:eastAsia="Times New Roman" w:cstheme="minorHAnsi"/>
                <w:szCs w:val="24"/>
                <w:lang w:eastAsia="en-AU"/>
              </w:rPr>
              <w:t xml:space="preserve"> and tablets to help children document and reflect on their play, enabling them to identify patterns in their thinking and actions.</w:t>
            </w:r>
          </w:p>
          <w:p w14:paraId="3654D09F" w14:textId="6019D1EA" w:rsidR="00350EEB" w:rsidRDefault="00350EEB" w:rsidP="00350EEB">
            <w:pPr>
              <w:numPr>
                <w:ilvl w:val="0"/>
                <w:numId w:val="15"/>
              </w:numPr>
              <w:rPr>
                <w:rFonts w:eastAsia="Times New Roman" w:cstheme="minorHAnsi"/>
                <w:szCs w:val="24"/>
                <w:lang w:eastAsia="en-AU"/>
              </w:rPr>
            </w:pPr>
            <w:r w:rsidRPr="00350EEB">
              <w:rPr>
                <w:rFonts w:eastAsia="Times New Roman" w:cstheme="minorHAnsi"/>
                <w:szCs w:val="24"/>
                <w:lang w:eastAsia="en-AU"/>
              </w:rPr>
              <w:t>Support children's development by assisting them in recognising strategies to overcome challenges and extend their ideas.</w:t>
            </w:r>
          </w:p>
          <w:p w14:paraId="5996E8B4" w14:textId="0D6A3469" w:rsidR="00350EEB" w:rsidRDefault="00350EEB" w:rsidP="00350EEB">
            <w:pPr>
              <w:rPr>
                <w:rFonts w:eastAsia="Times New Roman" w:cstheme="minorHAnsi"/>
                <w:szCs w:val="24"/>
                <w:lang w:eastAsia="en-AU"/>
              </w:rPr>
            </w:pPr>
          </w:p>
          <w:p w14:paraId="3E694CA7" w14:textId="68AE7875" w:rsidR="00350EEB" w:rsidRDefault="00350EEB" w:rsidP="00350EEB">
            <w:pPr>
              <w:rPr>
                <w:rFonts w:eastAsia="Times New Roman" w:cstheme="minorHAnsi"/>
                <w:szCs w:val="24"/>
                <w:lang w:eastAsia="en-AU"/>
              </w:rPr>
            </w:pPr>
          </w:p>
          <w:p w14:paraId="08501FE3" w14:textId="77777777" w:rsidR="00350EEB" w:rsidRPr="00350EEB" w:rsidRDefault="00350EEB" w:rsidP="00350EEB">
            <w:pPr>
              <w:rPr>
                <w:rFonts w:eastAsia="Times New Roman" w:cstheme="minorHAnsi"/>
                <w:szCs w:val="24"/>
                <w:lang w:eastAsia="en-AU"/>
              </w:rPr>
            </w:pPr>
          </w:p>
          <w:p w14:paraId="6ED43787" w14:textId="79A6751E" w:rsidR="00350EEB" w:rsidRPr="00350EEB" w:rsidRDefault="00350EEB" w:rsidP="00350EEB">
            <w:pPr>
              <w:rPr>
                <w:rFonts w:eastAsia="Times New Roman" w:cstheme="minorHAnsi"/>
                <w:szCs w:val="24"/>
                <w:lang w:eastAsia="en-AU"/>
              </w:rPr>
            </w:pPr>
            <w:r w:rsidRPr="00350EEB">
              <w:rPr>
                <w:rFonts w:eastAsia="Times New Roman" w:cstheme="minorHAnsi"/>
                <w:b/>
                <w:bCs/>
                <w:szCs w:val="24"/>
                <w:lang w:eastAsia="en-AU"/>
              </w:rPr>
              <w:t>Engage Families</w:t>
            </w:r>
          </w:p>
          <w:p w14:paraId="5E633917" w14:textId="77777777" w:rsidR="00350EEB" w:rsidRPr="00350EEB" w:rsidRDefault="00350EEB" w:rsidP="00350EEB">
            <w:pPr>
              <w:numPr>
                <w:ilvl w:val="0"/>
                <w:numId w:val="16"/>
              </w:numPr>
              <w:rPr>
                <w:rFonts w:eastAsia="Times New Roman" w:cstheme="minorHAnsi"/>
                <w:szCs w:val="24"/>
                <w:lang w:eastAsia="en-AU"/>
              </w:rPr>
            </w:pPr>
            <w:r w:rsidRPr="00350EEB">
              <w:rPr>
                <w:rFonts w:eastAsia="Times New Roman" w:cstheme="minorHAnsi"/>
                <w:szCs w:val="24"/>
                <w:lang w:eastAsia="en-AU"/>
              </w:rPr>
              <w:t>Foster strong relationships with families by learning about children’s interests, strengths, and previous knowledge, which can inform approaches to developing metacognition.</w:t>
            </w:r>
          </w:p>
          <w:p w14:paraId="1F921BB9" w14:textId="77777777" w:rsidR="00350EEB" w:rsidRPr="00350EEB" w:rsidRDefault="00350EEB" w:rsidP="00350EEB">
            <w:pPr>
              <w:numPr>
                <w:ilvl w:val="0"/>
                <w:numId w:val="16"/>
              </w:numPr>
              <w:rPr>
                <w:rFonts w:eastAsia="Times New Roman" w:cstheme="minorHAnsi"/>
                <w:szCs w:val="24"/>
                <w:lang w:eastAsia="en-AU"/>
              </w:rPr>
            </w:pPr>
            <w:r w:rsidRPr="00350EEB">
              <w:rPr>
                <w:rFonts w:eastAsia="Times New Roman" w:cstheme="minorHAnsi"/>
                <w:szCs w:val="24"/>
                <w:lang w:eastAsia="en-AU"/>
              </w:rPr>
              <w:t>Share the value of reflection and self-regulation and suggest ways families can support their child’s growth in these areas at home.</w:t>
            </w:r>
          </w:p>
          <w:p w14:paraId="433E3F0E" w14:textId="77777777" w:rsidR="00350EEB" w:rsidRPr="00350EEB" w:rsidRDefault="00350EEB" w:rsidP="00350EEB">
            <w:pPr>
              <w:numPr>
                <w:ilvl w:val="0"/>
                <w:numId w:val="16"/>
              </w:numPr>
              <w:rPr>
                <w:rFonts w:eastAsia="Times New Roman" w:cstheme="minorHAnsi"/>
                <w:szCs w:val="24"/>
                <w:lang w:eastAsia="en-AU"/>
              </w:rPr>
            </w:pPr>
            <w:r w:rsidRPr="00350EEB">
              <w:rPr>
                <w:rFonts w:eastAsia="Times New Roman" w:cstheme="minorHAnsi"/>
                <w:szCs w:val="24"/>
                <w:lang w:eastAsia="en-AU"/>
              </w:rPr>
              <w:t>Encourage family participation in reflection activities, promoting connections between home and school learning.</w:t>
            </w:r>
          </w:p>
          <w:p w14:paraId="6746C89D" w14:textId="342C416D" w:rsidR="0081382D" w:rsidRPr="00350EEB" w:rsidRDefault="0081382D" w:rsidP="0032471E">
            <w:pPr>
              <w:spacing w:before="100" w:beforeAutospacing="1" w:after="100" w:afterAutospacing="1" w:line="300" w:lineRule="atLeast"/>
              <w:ind w:left="1440"/>
              <w:rPr>
                <w:rFonts w:cstheme="minorHAnsi"/>
              </w:rPr>
            </w:pPr>
          </w:p>
        </w:tc>
        <w:tc>
          <w:tcPr>
            <w:tcW w:w="6064" w:type="dxa"/>
            <w:gridSpan w:val="2"/>
          </w:tcPr>
          <w:p w14:paraId="73393939" w14:textId="71D9CCC0" w:rsidR="00350EEB" w:rsidRPr="00350EEB" w:rsidRDefault="00350EEB" w:rsidP="0032471E">
            <w:pPr>
              <w:rPr>
                <w:rFonts w:eastAsia="Times New Roman" w:cstheme="minorHAnsi"/>
                <w:szCs w:val="24"/>
                <w:lang w:eastAsia="en-AU"/>
              </w:rPr>
            </w:pPr>
            <w:r w:rsidRPr="00350EEB">
              <w:rPr>
                <w:rFonts w:eastAsia="Times New Roman" w:cstheme="minorHAnsi"/>
                <w:b/>
                <w:bCs/>
                <w:szCs w:val="24"/>
                <w:lang w:eastAsia="en-AU"/>
              </w:rPr>
              <w:t>Engage in Reflective Conversations</w:t>
            </w:r>
          </w:p>
          <w:p w14:paraId="755544ED" w14:textId="77777777" w:rsidR="00350EEB" w:rsidRPr="00350EEB" w:rsidRDefault="00350EEB" w:rsidP="0032471E">
            <w:pPr>
              <w:numPr>
                <w:ilvl w:val="0"/>
                <w:numId w:val="17"/>
              </w:numPr>
              <w:rPr>
                <w:rFonts w:eastAsia="Times New Roman" w:cstheme="minorHAnsi"/>
                <w:szCs w:val="24"/>
                <w:lang w:eastAsia="en-AU"/>
              </w:rPr>
            </w:pPr>
            <w:r w:rsidRPr="00350EEB">
              <w:rPr>
                <w:rFonts w:eastAsia="Times New Roman" w:cstheme="minorHAnsi"/>
                <w:szCs w:val="24"/>
                <w:lang w:eastAsia="en-AU"/>
              </w:rPr>
              <w:t>Respond to open-ended questions by reflecting on their thinking and providing thoughtful ideas.</w:t>
            </w:r>
          </w:p>
          <w:p w14:paraId="634236CD" w14:textId="77777777" w:rsidR="00350EEB" w:rsidRPr="00350EEB" w:rsidRDefault="00350EEB" w:rsidP="0032471E">
            <w:pPr>
              <w:numPr>
                <w:ilvl w:val="0"/>
                <w:numId w:val="17"/>
              </w:numPr>
              <w:rPr>
                <w:rFonts w:eastAsia="Times New Roman" w:cstheme="minorHAnsi"/>
                <w:szCs w:val="24"/>
                <w:lang w:eastAsia="en-AU"/>
              </w:rPr>
            </w:pPr>
            <w:r w:rsidRPr="00350EEB">
              <w:rPr>
                <w:rFonts w:eastAsia="Times New Roman" w:cstheme="minorHAnsi"/>
                <w:szCs w:val="24"/>
                <w:lang w:eastAsia="en-AU"/>
              </w:rPr>
              <w:t>Share their thoughts, demonstrating self-awareness and regulation of their learning processes.</w:t>
            </w:r>
          </w:p>
          <w:p w14:paraId="7E3D364D" w14:textId="7B304899" w:rsidR="00350EEB" w:rsidRDefault="00350EEB" w:rsidP="0032471E">
            <w:pPr>
              <w:numPr>
                <w:ilvl w:val="0"/>
                <w:numId w:val="17"/>
              </w:numPr>
              <w:rPr>
                <w:rFonts w:eastAsia="Times New Roman" w:cstheme="minorHAnsi"/>
                <w:szCs w:val="24"/>
                <w:lang w:eastAsia="en-AU"/>
              </w:rPr>
            </w:pPr>
            <w:r w:rsidRPr="00350EEB">
              <w:rPr>
                <w:rFonts w:eastAsia="Times New Roman" w:cstheme="minorHAnsi"/>
                <w:szCs w:val="24"/>
                <w:lang w:eastAsia="en-AU"/>
              </w:rPr>
              <w:t>Participate actively in play and learning, making decisions that reflect their developing self-regulatory skills.</w:t>
            </w:r>
          </w:p>
          <w:p w14:paraId="065E083A" w14:textId="606E493F" w:rsidR="0032471E" w:rsidRDefault="0032471E" w:rsidP="0032471E">
            <w:pPr>
              <w:rPr>
                <w:rFonts w:eastAsia="Times New Roman" w:cstheme="minorHAnsi"/>
                <w:szCs w:val="24"/>
                <w:lang w:eastAsia="en-AU"/>
              </w:rPr>
            </w:pPr>
          </w:p>
          <w:p w14:paraId="01FCEE3A" w14:textId="77777777" w:rsidR="0032471E" w:rsidRPr="00350EEB" w:rsidRDefault="0032471E" w:rsidP="0032471E">
            <w:pPr>
              <w:rPr>
                <w:rFonts w:eastAsia="Times New Roman" w:cstheme="minorHAnsi"/>
                <w:szCs w:val="24"/>
                <w:lang w:eastAsia="en-AU"/>
              </w:rPr>
            </w:pPr>
          </w:p>
          <w:p w14:paraId="14CC9652" w14:textId="77777777" w:rsidR="00350EEB" w:rsidRDefault="00350EEB" w:rsidP="0032471E">
            <w:pPr>
              <w:rPr>
                <w:rFonts w:eastAsia="Times New Roman" w:cstheme="minorHAnsi"/>
                <w:b/>
                <w:bCs/>
                <w:szCs w:val="24"/>
                <w:lang w:eastAsia="en-AU"/>
              </w:rPr>
            </w:pPr>
          </w:p>
          <w:p w14:paraId="0D593464" w14:textId="7BD0D01B" w:rsidR="00350EEB" w:rsidRPr="00350EEB" w:rsidRDefault="00350EEB" w:rsidP="0032471E">
            <w:pPr>
              <w:rPr>
                <w:rFonts w:eastAsia="Times New Roman" w:cstheme="minorHAnsi"/>
                <w:szCs w:val="24"/>
                <w:lang w:eastAsia="en-AU"/>
              </w:rPr>
            </w:pPr>
            <w:r w:rsidRPr="00350EEB">
              <w:rPr>
                <w:rFonts w:eastAsia="Times New Roman" w:cstheme="minorHAnsi"/>
                <w:b/>
                <w:bCs/>
                <w:szCs w:val="24"/>
                <w:lang w:eastAsia="en-AU"/>
              </w:rPr>
              <w:t>Explore and Express Creativity</w:t>
            </w:r>
          </w:p>
          <w:p w14:paraId="323BA317" w14:textId="77777777" w:rsidR="00350EEB" w:rsidRPr="00350EEB" w:rsidRDefault="00350EEB" w:rsidP="0032471E">
            <w:pPr>
              <w:numPr>
                <w:ilvl w:val="0"/>
                <w:numId w:val="18"/>
              </w:numPr>
              <w:rPr>
                <w:rFonts w:eastAsia="Times New Roman" w:cstheme="minorHAnsi"/>
                <w:szCs w:val="24"/>
                <w:lang w:eastAsia="en-AU"/>
              </w:rPr>
            </w:pPr>
            <w:r w:rsidRPr="00350EEB">
              <w:rPr>
                <w:rFonts w:eastAsia="Times New Roman" w:cstheme="minorHAnsi"/>
                <w:szCs w:val="24"/>
                <w:lang w:eastAsia="en-AU"/>
              </w:rPr>
              <w:t>Use diverse materials (e.g., art supplies, building blocks, role-play areas) to express ideas and engage in problem-solving, practising skills in metacognition.</w:t>
            </w:r>
          </w:p>
          <w:p w14:paraId="34EC7D20" w14:textId="77777777" w:rsidR="00350EEB" w:rsidRPr="00350EEB" w:rsidRDefault="00350EEB" w:rsidP="0032471E">
            <w:pPr>
              <w:numPr>
                <w:ilvl w:val="0"/>
                <w:numId w:val="18"/>
              </w:numPr>
              <w:rPr>
                <w:rFonts w:eastAsia="Times New Roman" w:cstheme="minorHAnsi"/>
                <w:szCs w:val="24"/>
                <w:lang w:eastAsia="en-AU"/>
              </w:rPr>
            </w:pPr>
            <w:r w:rsidRPr="00350EEB">
              <w:rPr>
                <w:rFonts w:eastAsia="Times New Roman" w:cstheme="minorHAnsi"/>
                <w:szCs w:val="24"/>
                <w:lang w:eastAsia="en-AU"/>
              </w:rPr>
              <w:t>Document their play and reflections, learning to evaluate their thoughts, ideas, and actions in a structured way.</w:t>
            </w:r>
          </w:p>
          <w:p w14:paraId="6F89114F" w14:textId="5F4BCF9B" w:rsidR="00350EEB" w:rsidRDefault="00350EEB" w:rsidP="0032471E">
            <w:pPr>
              <w:numPr>
                <w:ilvl w:val="0"/>
                <w:numId w:val="18"/>
              </w:numPr>
              <w:rPr>
                <w:rFonts w:eastAsia="Times New Roman" w:cstheme="minorHAnsi"/>
                <w:szCs w:val="24"/>
                <w:lang w:eastAsia="en-AU"/>
              </w:rPr>
            </w:pPr>
            <w:r w:rsidRPr="00350EEB">
              <w:rPr>
                <w:rFonts w:eastAsia="Times New Roman" w:cstheme="minorHAnsi"/>
                <w:szCs w:val="24"/>
                <w:lang w:eastAsia="en-AU"/>
              </w:rPr>
              <w:t>Engage with educator-supported documentation to reflect on and refine their thinking, recognising strategies for improvement.</w:t>
            </w:r>
          </w:p>
          <w:p w14:paraId="7A685169" w14:textId="0F0833C4" w:rsidR="0032471E" w:rsidRDefault="0032471E" w:rsidP="0032471E">
            <w:pPr>
              <w:rPr>
                <w:rFonts w:eastAsia="Times New Roman" w:cstheme="minorHAnsi"/>
                <w:szCs w:val="24"/>
                <w:lang w:eastAsia="en-AU"/>
              </w:rPr>
            </w:pPr>
          </w:p>
          <w:p w14:paraId="48B69B2D" w14:textId="77777777" w:rsidR="0032471E" w:rsidRPr="00350EEB" w:rsidRDefault="0032471E" w:rsidP="0032471E">
            <w:pPr>
              <w:rPr>
                <w:rFonts w:eastAsia="Times New Roman" w:cstheme="minorHAnsi"/>
                <w:szCs w:val="24"/>
                <w:lang w:eastAsia="en-AU"/>
              </w:rPr>
            </w:pPr>
          </w:p>
          <w:p w14:paraId="7869F7FC" w14:textId="12F2DCFA" w:rsidR="00350EEB" w:rsidRPr="00350EEB" w:rsidRDefault="00350EEB" w:rsidP="0032471E">
            <w:pPr>
              <w:rPr>
                <w:rFonts w:eastAsia="Times New Roman" w:cstheme="minorHAnsi"/>
                <w:szCs w:val="24"/>
                <w:lang w:eastAsia="en-AU"/>
              </w:rPr>
            </w:pPr>
            <w:r w:rsidRPr="00350EEB">
              <w:rPr>
                <w:rFonts w:eastAsia="Times New Roman" w:cstheme="minorHAnsi"/>
                <w:b/>
                <w:bCs/>
                <w:szCs w:val="24"/>
                <w:lang w:eastAsia="en-AU"/>
              </w:rPr>
              <w:t>Collaborate with Families</w:t>
            </w:r>
          </w:p>
          <w:p w14:paraId="145B7B28" w14:textId="77777777" w:rsidR="00350EEB" w:rsidRPr="00350EEB" w:rsidRDefault="00350EEB" w:rsidP="0032471E">
            <w:pPr>
              <w:numPr>
                <w:ilvl w:val="0"/>
                <w:numId w:val="19"/>
              </w:numPr>
              <w:rPr>
                <w:rFonts w:eastAsia="Times New Roman" w:cstheme="minorHAnsi"/>
                <w:szCs w:val="24"/>
                <w:lang w:eastAsia="en-AU"/>
              </w:rPr>
            </w:pPr>
            <w:r w:rsidRPr="00350EEB">
              <w:rPr>
                <w:rFonts w:eastAsia="Times New Roman" w:cstheme="minorHAnsi"/>
                <w:szCs w:val="24"/>
                <w:lang w:eastAsia="en-AU"/>
              </w:rPr>
              <w:t>Build on their interests and strengths at school, supported by insights and contributions shared by their families.</w:t>
            </w:r>
          </w:p>
          <w:p w14:paraId="149063B5" w14:textId="77777777" w:rsidR="00350EEB" w:rsidRPr="00350EEB" w:rsidRDefault="00350EEB" w:rsidP="0032471E">
            <w:pPr>
              <w:numPr>
                <w:ilvl w:val="0"/>
                <w:numId w:val="19"/>
              </w:numPr>
              <w:rPr>
                <w:rFonts w:eastAsia="Times New Roman" w:cstheme="minorHAnsi"/>
                <w:szCs w:val="24"/>
                <w:lang w:eastAsia="en-AU"/>
              </w:rPr>
            </w:pPr>
            <w:r w:rsidRPr="00350EEB">
              <w:rPr>
                <w:rFonts w:eastAsia="Times New Roman" w:cstheme="minorHAnsi"/>
                <w:szCs w:val="24"/>
                <w:lang w:eastAsia="en-AU"/>
              </w:rPr>
              <w:t>Reflect on and share their learning experiences, developing a clearer understanding of their learning processes.</w:t>
            </w:r>
          </w:p>
          <w:p w14:paraId="2620E98C" w14:textId="0A142A4E" w:rsidR="0081382D" w:rsidRPr="00350EEB" w:rsidRDefault="00350EEB" w:rsidP="0032471E">
            <w:pPr>
              <w:numPr>
                <w:ilvl w:val="0"/>
                <w:numId w:val="19"/>
              </w:numPr>
              <w:rPr>
                <w:rFonts w:cstheme="minorHAnsi"/>
              </w:rPr>
            </w:pPr>
            <w:r w:rsidRPr="00350EEB">
              <w:rPr>
                <w:rFonts w:eastAsia="Times New Roman" w:cstheme="minorHAnsi"/>
                <w:szCs w:val="24"/>
                <w:lang w:eastAsia="en-AU"/>
              </w:rPr>
              <w:t>Participate in joint reflection activities with their families, strengthening connections between home and school and promoting self-regulation.</w:t>
            </w:r>
          </w:p>
        </w:tc>
        <w:bookmarkStart w:id="0" w:name="_GoBack"/>
        <w:bookmarkEnd w:id="0"/>
      </w:tr>
    </w:tbl>
    <w:p w14:paraId="0C86B391" w14:textId="77777777" w:rsidR="003F64C9" w:rsidRPr="00350EEB" w:rsidRDefault="003F64C9">
      <w:pPr>
        <w:rPr>
          <w:rFonts w:cstheme="minorHAnsi"/>
        </w:rPr>
      </w:pPr>
    </w:p>
    <w:sectPr w:rsidR="003F64C9" w:rsidRPr="00350EEB" w:rsidSect="00E32ABD">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6316"/>
    <w:multiLevelType w:val="multilevel"/>
    <w:tmpl w:val="2D5C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C5A88"/>
    <w:multiLevelType w:val="multilevel"/>
    <w:tmpl w:val="98B4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66C94"/>
    <w:multiLevelType w:val="multilevel"/>
    <w:tmpl w:val="63D0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A61FB"/>
    <w:multiLevelType w:val="multilevel"/>
    <w:tmpl w:val="254A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43DCC"/>
    <w:multiLevelType w:val="multilevel"/>
    <w:tmpl w:val="0AE694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E94F07"/>
    <w:multiLevelType w:val="hybridMultilevel"/>
    <w:tmpl w:val="85B04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4F50D2"/>
    <w:multiLevelType w:val="multilevel"/>
    <w:tmpl w:val="7F0A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1727A"/>
    <w:multiLevelType w:val="multilevel"/>
    <w:tmpl w:val="0488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B6FCB"/>
    <w:multiLevelType w:val="multilevel"/>
    <w:tmpl w:val="1772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4416C"/>
    <w:multiLevelType w:val="multilevel"/>
    <w:tmpl w:val="2168F1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321663"/>
    <w:multiLevelType w:val="multilevel"/>
    <w:tmpl w:val="24A0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C7EC1"/>
    <w:multiLevelType w:val="multilevel"/>
    <w:tmpl w:val="1F428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A44E17"/>
    <w:multiLevelType w:val="multilevel"/>
    <w:tmpl w:val="38D8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06716A"/>
    <w:multiLevelType w:val="hybridMultilevel"/>
    <w:tmpl w:val="102E12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0932738"/>
    <w:multiLevelType w:val="multilevel"/>
    <w:tmpl w:val="B19A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71230A"/>
    <w:multiLevelType w:val="multilevel"/>
    <w:tmpl w:val="BAA4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501BCC"/>
    <w:multiLevelType w:val="multilevel"/>
    <w:tmpl w:val="3794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E543E6"/>
    <w:multiLevelType w:val="multilevel"/>
    <w:tmpl w:val="32CE67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765235"/>
    <w:multiLevelType w:val="multilevel"/>
    <w:tmpl w:val="235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7"/>
  </w:num>
  <w:num w:numId="4">
    <w:abstractNumId w:val="2"/>
  </w:num>
  <w:num w:numId="5">
    <w:abstractNumId w:val="5"/>
  </w:num>
  <w:num w:numId="6">
    <w:abstractNumId w:val="11"/>
  </w:num>
  <w:num w:numId="7">
    <w:abstractNumId w:val="9"/>
  </w:num>
  <w:num w:numId="8">
    <w:abstractNumId w:val="4"/>
  </w:num>
  <w:num w:numId="9">
    <w:abstractNumId w:val="17"/>
  </w:num>
  <w:num w:numId="10">
    <w:abstractNumId w:val="14"/>
  </w:num>
  <w:num w:numId="11">
    <w:abstractNumId w:val="15"/>
  </w:num>
  <w:num w:numId="12">
    <w:abstractNumId w:val="1"/>
  </w:num>
  <w:num w:numId="13">
    <w:abstractNumId w:val="13"/>
  </w:num>
  <w:num w:numId="14">
    <w:abstractNumId w:val="18"/>
  </w:num>
  <w:num w:numId="15">
    <w:abstractNumId w:val="6"/>
  </w:num>
  <w:num w:numId="16">
    <w:abstractNumId w:val="12"/>
  </w:num>
  <w:num w:numId="17">
    <w:abstractNumId w:val="8"/>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BD"/>
    <w:rsid w:val="000E63DF"/>
    <w:rsid w:val="00145C9D"/>
    <w:rsid w:val="00285596"/>
    <w:rsid w:val="0032471E"/>
    <w:rsid w:val="00350EEB"/>
    <w:rsid w:val="003F64C9"/>
    <w:rsid w:val="004B6556"/>
    <w:rsid w:val="006C63C8"/>
    <w:rsid w:val="007C0C2A"/>
    <w:rsid w:val="0081382D"/>
    <w:rsid w:val="009256D3"/>
    <w:rsid w:val="00995DB6"/>
    <w:rsid w:val="009A0F40"/>
    <w:rsid w:val="009C0A9A"/>
    <w:rsid w:val="00B51F25"/>
    <w:rsid w:val="00DD31F4"/>
    <w:rsid w:val="00E24526"/>
    <w:rsid w:val="00E32ABD"/>
    <w:rsid w:val="00EF71C0"/>
    <w:rsid w:val="00FC57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D6115"/>
  <w15:chartTrackingRefBased/>
  <w15:docId w15:val="{A8F5C109-03DE-45A1-A542-2CD23C14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32ABD"/>
    <w:rPr>
      <w:b/>
      <w:bCs/>
    </w:rPr>
  </w:style>
  <w:style w:type="paragraph" w:customStyle="1" w:styleId="xmsonormal">
    <w:name w:val="x_msonormal"/>
    <w:basedOn w:val="Normal"/>
    <w:rsid w:val="00E32ABD"/>
    <w:pPr>
      <w:spacing w:after="0" w:line="240" w:lineRule="auto"/>
    </w:pPr>
    <w:rPr>
      <w:rFonts w:ascii="Calibri" w:eastAsia="PMingLiU" w:hAnsi="Calibri" w:cs="Calibri"/>
      <w:lang w:eastAsia="zh-TW"/>
    </w:rPr>
  </w:style>
  <w:style w:type="paragraph" w:styleId="ListParagraph">
    <w:name w:val="List Paragraph"/>
    <w:basedOn w:val="Normal"/>
    <w:uiPriority w:val="34"/>
    <w:qFormat/>
    <w:rsid w:val="00E32ABD"/>
    <w:pPr>
      <w:ind w:left="720"/>
      <w:contextualSpacing/>
    </w:pPr>
  </w:style>
  <w:style w:type="paragraph" w:styleId="NormalWeb">
    <w:name w:val="Normal (Web)"/>
    <w:basedOn w:val="Normal"/>
    <w:uiPriority w:val="99"/>
    <w:semiHidden/>
    <w:unhideWhenUsed/>
    <w:rsid w:val="00350EE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592786">
      <w:bodyDiv w:val="1"/>
      <w:marLeft w:val="0"/>
      <w:marRight w:val="0"/>
      <w:marTop w:val="0"/>
      <w:marBottom w:val="0"/>
      <w:divBdr>
        <w:top w:val="none" w:sz="0" w:space="0" w:color="auto"/>
        <w:left w:val="none" w:sz="0" w:space="0" w:color="auto"/>
        <w:bottom w:val="none" w:sz="0" w:space="0" w:color="auto"/>
        <w:right w:val="none" w:sz="0" w:space="0" w:color="auto"/>
      </w:divBdr>
    </w:div>
    <w:div w:id="398215314">
      <w:bodyDiv w:val="1"/>
      <w:marLeft w:val="0"/>
      <w:marRight w:val="0"/>
      <w:marTop w:val="0"/>
      <w:marBottom w:val="0"/>
      <w:divBdr>
        <w:top w:val="none" w:sz="0" w:space="0" w:color="auto"/>
        <w:left w:val="none" w:sz="0" w:space="0" w:color="auto"/>
        <w:bottom w:val="none" w:sz="0" w:space="0" w:color="auto"/>
        <w:right w:val="none" w:sz="0" w:space="0" w:color="auto"/>
      </w:divBdr>
    </w:div>
    <w:div w:id="938870177">
      <w:bodyDiv w:val="1"/>
      <w:marLeft w:val="0"/>
      <w:marRight w:val="0"/>
      <w:marTop w:val="0"/>
      <w:marBottom w:val="0"/>
      <w:divBdr>
        <w:top w:val="none" w:sz="0" w:space="0" w:color="auto"/>
        <w:left w:val="none" w:sz="0" w:space="0" w:color="auto"/>
        <w:bottom w:val="none" w:sz="0" w:space="0" w:color="auto"/>
        <w:right w:val="none" w:sz="0" w:space="0" w:color="auto"/>
      </w:divBdr>
    </w:div>
    <w:div w:id="1418212128">
      <w:bodyDiv w:val="1"/>
      <w:marLeft w:val="0"/>
      <w:marRight w:val="0"/>
      <w:marTop w:val="0"/>
      <w:marBottom w:val="0"/>
      <w:divBdr>
        <w:top w:val="none" w:sz="0" w:space="0" w:color="auto"/>
        <w:left w:val="none" w:sz="0" w:space="0" w:color="auto"/>
        <w:bottom w:val="none" w:sz="0" w:space="0" w:color="auto"/>
        <w:right w:val="none" w:sz="0" w:space="0" w:color="auto"/>
      </w:divBdr>
    </w:div>
    <w:div w:id="149248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13A1F2F985043BBB7C6F90A7F37E9" ma:contentTypeVersion="14" ma:contentTypeDescription="Create a new document." ma:contentTypeScope="" ma:versionID="6c888e7814b443001364c509b4cabdaa">
  <xsd:schema xmlns:xsd="http://www.w3.org/2001/XMLSchema" xmlns:xs="http://www.w3.org/2001/XMLSchema" xmlns:p="http://schemas.microsoft.com/office/2006/metadata/properties" xmlns:ns2="ea105948-8fde-4e7e-85e3-3e5743048289" xmlns:ns3="25b0f8b8-fdb1-4537-9981-7f90a1004bf8" targetNamespace="http://schemas.microsoft.com/office/2006/metadata/properties" ma:root="true" ma:fieldsID="346b65ee91bff0efc72218b604150379" ns2:_="" ns3:_="">
    <xsd:import namespace="ea105948-8fde-4e7e-85e3-3e5743048289"/>
    <xsd:import namespace="25b0f8b8-fdb1-4537-9981-7f90a1004b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05948-8fde-4e7e-85e3-3e5743048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2ee2c2a-7de1-485c-a059-145b4e502d0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b0f8b8-fdb1-4537-9981-7f90a1004bf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4134b78-cd54-4fbf-9cab-400d592c0b63}" ma:internalName="TaxCatchAll" ma:showField="CatchAllData" ma:web="25b0f8b8-fdb1-4537-9981-7f90a1004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5b0f8b8-fdb1-4537-9981-7f90a1004bf8" xsi:nil="true"/>
    <lcf76f155ced4ddcb4097134ff3c332f xmlns="ea105948-8fde-4e7e-85e3-3e57430482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E1C63-077E-42BC-8C6F-910CADDE27FA}"/>
</file>

<file path=customXml/itemProps2.xml><?xml version="1.0" encoding="utf-8"?>
<ds:datastoreItem xmlns:ds="http://schemas.openxmlformats.org/officeDocument/2006/customXml" ds:itemID="{829E3514-7E6D-4870-A56C-B8824E22D883}">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9f727730-9ce3-42b0-b0ff-7669a39ee090"/>
    <ds:schemaRef ds:uri="129d7af7-f585-411e-a61a-5af3f9fd1d85"/>
    <ds:schemaRef ds:uri="http://www.w3.org/XML/1998/namespace"/>
    <ds:schemaRef ds:uri="http://purl.org/dc/dcmitype/"/>
  </ds:schemaRefs>
</ds:datastoreItem>
</file>

<file path=customXml/itemProps3.xml><?xml version="1.0" encoding="utf-8"?>
<ds:datastoreItem xmlns:ds="http://schemas.openxmlformats.org/officeDocument/2006/customXml" ds:itemID="{8D7F5908-F28B-4E56-B598-B65A2898D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534</Words>
  <Characters>3468</Characters>
  <Application>Microsoft Office Word</Application>
  <DocSecurity>0</DocSecurity>
  <Lines>107</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for Education</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Cowland, Troy (Swan Reach Area School)</dc:creator>
  <cp:keywords/>
  <dc:description/>
  <cp:lastModifiedBy>Horstmann, Tricia (Swan Reach and Area Kindergarten)</cp:lastModifiedBy>
  <cp:revision>3</cp:revision>
  <cp:lastPrinted>2025-04-08T00:47:00Z</cp:lastPrinted>
  <dcterms:created xsi:type="dcterms:W3CDTF">2025-02-18T03:37:00Z</dcterms:created>
  <dcterms:modified xsi:type="dcterms:W3CDTF">2025-04-08T06:50:00Z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6ec7101758e95f617c6f57044987d56353592d7cbaec98a70f07e579cf84cf8b</vt:lpwstr>
  </property>
  <property fmtid="{D5CDD505-2E9C-101B-9397-08002B2CF9AE}" pid="3" name="ContentTypeId">
    <vt:lpwstr>0x010100B8B13A1F2F985043BBB7C6F90A7F37E9</vt:lpwstr>
  </property>
</Properties>
</file>